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BA" w:rsidRPr="00B305B2" w:rsidRDefault="00B305B2" w:rsidP="00B305B2">
      <w:pPr>
        <w:jc w:val="center"/>
        <w:rPr>
          <w:rFonts w:ascii="Comic Sans MS" w:hAnsi="Comic Sans MS"/>
          <w:b/>
          <w:bCs/>
          <w:color w:val="666666"/>
          <w:sz w:val="76"/>
          <w:szCs w:val="76"/>
          <w:shd w:val="clear" w:color="auto" w:fill="FFFFFF"/>
        </w:rPr>
      </w:pPr>
      <w:r w:rsidRPr="00B305B2">
        <w:rPr>
          <w:rFonts w:ascii="Comic Sans MS" w:hAnsi="Comic Sans MS"/>
          <w:b/>
          <w:bCs/>
          <w:color w:val="666666"/>
          <w:sz w:val="76"/>
          <w:szCs w:val="76"/>
          <w:shd w:val="clear" w:color="auto" w:fill="FFFFFF"/>
          <w:rtl/>
        </w:rPr>
        <w:t>منفعة الإعادة</w:t>
      </w:r>
    </w:p>
    <w:p w:rsidR="00B305B2" w:rsidRPr="00B305B2" w:rsidRDefault="00B305B2" w:rsidP="00B305B2">
      <w:pPr>
        <w:pStyle w:val="NormalWeb"/>
        <w:bidi/>
        <w:spacing w:before="120" w:beforeAutospacing="0" w:after="120" w:afterAutospacing="0"/>
        <w:ind w:firstLine="26"/>
        <w:jc w:val="center"/>
        <w:rPr>
          <w:sz w:val="28"/>
          <w:szCs w:val="28"/>
        </w:rPr>
      </w:pPr>
    </w:p>
    <w:p w:rsidR="00B305B2" w:rsidRPr="00B305B2" w:rsidRDefault="00B305B2" w:rsidP="00B305B2">
      <w:pPr>
        <w:pStyle w:val="NormalWeb"/>
        <w:bidi/>
        <w:spacing w:before="120" w:beforeAutospacing="0" w:after="120" w:afterAutospacing="0" w:line="297" w:lineRule="atLeast"/>
        <w:jc w:val="center"/>
        <w:rPr>
          <w:sz w:val="28"/>
          <w:szCs w:val="28"/>
          <w:rtl/>
        </w:rPr>
      </w:pPr>
      <w:r w:rsidRPr="00B305B2">
        <w:rPr>
          <w:rFonts w:ascii="MCS Basmalah normal." w:hAnsi="MCS Basmalah normal."/>
          <w:sz w:val="20"/>
          <w:szCs w:val="20"/>
        </w:rPr>
        <w:t> 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138"/>
        <w:gridCol w:w="3417"/>
      </w:tblGrid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Heading1"/>
              <w:bidi/>
              <w:spacing w:before="225" w:after="30" w:line="0" w:lineRule="atLeast"/>
              <w:jc w:val="both"/>
              <w:rPr>
                <w:rFonts w:ascii="Traditional Arabic" w:hAnsi="Traditional Arabic" w:cs="Traditional Arabic"/>
                <w:color w:val="417CAB"/>
                <w:sz w:val="43"/>
                <w:szCs w:val="43"/>
              </w:rPr>
            </w:pPr>
            <w:r w:rsidRPr="00B305B2">
              <w:rPr>
                <w:rFonts w:ascii="Lotus Linotype" w:eastAsia="Times New Roman" w:hAnsi="Lotus Linotype" w:cs="Times New Roman"/>
                <w:b w:val="0"/>
                <w:bCs w:val="0"/>
                <w:color w:val="auto"/>
                <w:sz w:val="36"/>
                <w:szCs w:val="36"/>
                <w:rtl/>
              </w:rPr>
              <w:t>لا ت</w:t>
            </w:r>
            <w:bookmarkStart w:id="0" w:name="_GoBack"/>
            <w:bookmarkEnd w:id="0"/>
            <w:r w:rsidRPr="00B305B2">
              <w:rPr>
                <w:rFonts w:ascii="Lotus Linotype" w:eastAsia="Times New Roman" w:hAnsi="Lotus Linotype" w:cs="Times New Roman"/>
                <w:b w:val="0"/>
                <w:bCs w:val="0"/>
                <w:color w:val="auto"/>
                <w:sz w:val="36"/>
                <w:szCs w:val="36"/>
                <w:rtl/>
              </w:rPr>
              <w:t>ضجروا من كثرَّة الإعادهْ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Heading1"/>
              <w:bidi/>
              <w:spacing w:before="225" w:after="30" w:line="0" w:lineRule="atLeast"/>
              <w:jc w:val="both"/>
              <w:rPr>
                <w:rFonts w:ascii="Traditional Arabic" w:hAnsi="Traditional Arabic" w:cs="Traditional Arabic"/>
                <w:color w:val="417CAB"/>
                <w:sz w:val="43"/>
                <w:szCs w:val="43"/>
              </w:rPr>
            </w:pPr>
            <w:r w:rsidRPr="00B305B2">
              <w:rPr>
                <w:rFonts w:ascii="Lotus Linotype" w:hAnsi="Lotus Linotype" w:cs="Traditional Arabic"/>
                <w:b w:val="0"/>
                <w:bCs w:val="0"/>
                <w:color w:val="417CAB"/>
                <w:sz w:val="43"/>
                <w:szCs w:val="43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وشمِّروا ذا منهجُ الإفادهْ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والحقُّ في المعروفِ بالنُّفاعهْ</w:t>
            </w:r>
            <w:r w:rsidRPr="00B305B2">
              <w:rPr>
                <w:rFonts w:ascii="Lotus Linotype" w:hAnsi="Lotus Linotype"/>
                <w:sz w:val="40"/>
                <w:szCs w:val="40"/>
                <w:vertAlign w:val="superscript"/>
                <w:rtl/>
              </w:rPr>
              <w:t>[1]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تَكريرُه حتَّى تقومَ السَّاعهْ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وأجدرُ</w:t>
            </w:r>
            <w:r w:rsidRPr="00B305B2">
              <w:rPr>
                <w:rFonts w:ascii="Lotus Linotype" w:hAnsi="Lotus Linotype"/>
                <w:sz w:val="40"/>
                <w:szCs w:val="40"/>
                <w:vertAlign w:val="superscript"/>
                <w:rtl/>
              </w:rPr>
              <w:t>[2]</w:t>
            </w: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 العلومِ أن تُعادا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أُصولُها</w:t>
            </w:r>
            <w:r w:rsidRPr="00B305B2">
              <w:rPr>
                <w:rFonts w:ascii="Lotus Linotype" w:hAnsi="Lotus Linotype"/>
                <w:sz w:val="40"/>
                <w:szCs w:val="40"/>
                <w:vertAlign w:val="superscript"/>
                <w:rtl/>
              </w:rPr>
              <w:t>[3]</w:t>
            </w: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 وما هدى العبادا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كم كرَّر الأشياخُ للأُصولِ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وما بُلُوا بمذهبِ الفُضُولي</w:t>
            </w:r>
            <w:r w:rsidRPr="00B305B2">
              <w:rPr>
                <w:rFonts w:ascii="Lotus Linotype" w:hAnsi="Lotus Linotype"/>
                <w:sz w:val="40"/>
                <w:szCs w:val="40"/>
                <w:vertAlign w:val="superscript"/>
                <w:rtl/>
              </w:rPr>
              <w:t>[4]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فمن أرادَ العلمَ بالإحكامِ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مُلْتَمِسًا أو مرشدَ الأَنامِ</w:t>
            </w:r>
            <w:r w:rsidRPr="00B305B2">
              <w:rPr>
                <w:rFonts w:ascii="Lotus Linotype" w:hAnsi="Lotus Linotype"/>
                <w:sz w:val="40"/>
                <w:szCs w:val="40"/>
                <w:vertAlign w:val="superscript"/>
                <w:rtl/>
              </w:rPr>
              <w:t>[5]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فَلْيُمسِكنْ بعروةِ</w:t>
            </w:r>
            <w:r w:rsidRPr="00B305B2">
              <w:rPr>
                <w:rFonts w:ascii="Lotus Linotype" w:hAnsi="Lotus Linotype"/>
                <w:sz w:val="40"/>
                <w:szCs w:val="40"/>
                <w:vertAlign w:val="superscript"/>
                <w:rtl/>
              </w:rPr>
              <w:t>[6]</w:t>
            </w: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 المتونِ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ولْيَحتفِلْ بجوهرِ الفُنونِ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ولْيُحْكِمِ الألفاظَ والمعاني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مُكرِّرًا كالسَّبعِ في المثاني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وحاذِروا نابِزَهَا</w:t>
            </w:r>
            <w:r w:rsidRPr="00B305B2">
              <w:rPr>
                <w:rFonts w:ascii="Lotus Linotype" w:hAnsi="Lotus Linotype"/>
                <w:sz w:val="40"/>
                <w:szCs w:val="40"/>
                <w:vertAlign w:val="superscript"/>
                <w:rtl/>
              </w:rPr>
              <w:t>[7]</w:t>
            </w: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 بالصَّفرا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فعدُّهُ في العلمِ جاءَ صِفْرا </w:t>
            </w:r>
            <w:r w:rsidRPr="00B305B2">
              <w:rPr>
                <w:rStyle w:val="apple-converted-space"/>
                <w:rFonts w:ascii="Lotus Linotype" w:hAnsi="Lotus Linotype"/>
                <w:sz w:val="36"/>
                <w:szCs w:val="36"/>
                <w:rtl/>
              </w:rPr>
              <w:t> 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وصُفرةُ الألوانِ في المنقولِ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ممدوحةٌ كذاكَ في المعقولِ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فآيةُ البِكر</w:t>
            </w:r>
            <w:r w:rsidRPr="00B305B2">
              <w:rPr>
                <w:rFonts w:ascii="Lotus Linotype" w:hAnsi="Lotus Linotype"/>
                <w:sz w:val="40"/>
                <w:szCs w:val="40"/>
                <w:vertAlign w:val="superscript"/>
                <w:rtl/>
              </w:rPr>
              <w:t>[8]</w:t>
            </w: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 تسرُّ النَّظرا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والنَّاقة الصَّفراءُ فخرُ النُّظرا</w:t>
            </w:r>
            <w:r w:rsidRPr="00B305B2">
              <w:rPr>
                <w:rFonts w:ascii="Lotus Linotype" w:hAnsi="Lotus Linotype"/>
                <w:sz w:val="40"/>
                <w:szCs w:val="40"/>
                <w:vertAlign w:val="superscript"/>
                <w:rtl/>
              </w:rPr>
              <w:t>[9]</w:t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والدِّين يسرٌ والعلومُ تقصدُ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ليُعبدَ الرَّحمن يا مَن يقصِدُ</w:t>
            </w:r>
            <w:r w:rsidRPr="00B305B2">
              <w:rPr>
                <w:rFonts w:ascii="Lotus Linotype" w:hAnsi="Lotus Linotype"/>
                <w:sz w:val="19"/>
                <w:szCs w:val="19"/>
                <w:rtl/>
              </w:rPr>
              <w:br/>
            </w:r>
          </w:p>
        </w:tc>
      </w:tr>
      <w:tr w:rsidR="00B305B2" w:rsidRPr="00B305B2" w:rsidTr="00B305B2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وَجمعُها يَناله منِ التَزمْ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sz w:val="36"/>
                <w:szCs w:val="3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5B2" w:rsidRPr="00B305B2" w:rsidRDefault="00B305B2">
            <w:pPr>
              <w:pStyle w:val="NormalWeb"/>
              <w:bidi/>
              <w:spacing w:before="120" w:beforeAutospacing="0" w:after="120" w:afterAutospacing="0" w:line="0" w:lineRule="atLeast"/>
              <w:jc w:val="both"/>
              <w:rPr>
                <w:sz w:val="28"/>
                <w:szCs w:val="28"/>
              </w:rPr>
            </w:pPr>
            <w:r w:rsidRPr="00B305B2">
              <w:rPr>
                <w:rFonts w:ascii="Lotus Linotype" w:hAnsi="Lotus Linotype"/>
                <w:sz w:val="36"/>
                <w:szCs w:val="36"/>
                <w:rtl/>
              </w:rPr>
              <w:t>طريقَها فأينَ فيكم مَن عَزَمْ</w:t>
            </w:r>
            <w:r w:rsidRPr="00B305B2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</w:tc>
      </w:tr>
    </w:tbl>
    <w:p w:rsidR="00B305B2" w:rsidRPr="00B305B2" w:rsidRDefault="00B305B2" w:rsidP="00B305B2">
      <w:pPr>
        <w:pStyle w:val="NormalWeb"/>
        <w:bidi/>
        <w:spacing w:before="120" w:beforeAutospacing="0" w:after="120" w:afterAutospacing="0"/>
        <w:rPr>
          <w:sz w:val="28"/>
          <w:szCs w:val="28"/>
          <w:rtl/>
        </w:rPr>
      </w:pPr>
      <w:r w:rsidRPr="00B305B2">
        <w:rPr>
          <w:sz w:val="6"/>
          <w:szCs w:val="6"/>
          <w:rtl/>
        </w:rPr>
        <w:t> </w:t>
      </w:r>
    </w:p>
    <w:p w:rsidR="00B305B2" w:rsidRPr="00B305B2" w:rsidRDefault="00B305B2" w:rsidP="00B305B2">
      <w:pPr>
        <w:rPr>
          <w:sz w:val="26"/>
          <w:szCs w:val="26"/>
          <w:rtl/>
        </w:rPr>
      </w:pPr>
      <w:r w:rsidRPr="00B305B2">
        <w:rPr>
          <w:sz w:val="26"/>
          <w:szCs w:val="26"/>
        </w:rPr>
        <w:br w:type="textWrapping" w:clear="all"/>
      </w:r>
    </w:p>
    <w:p w:rsidR="00B305B2" w:rsidRPr="00B305B2" w:rsidRDefault="00B305B2" w:rsidP="00B305B2">
      <w:pPr>
        <w:pStyle w:val="Heading6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</w:rPr>
      </w:pPr>
      <w:r w:rsidRPr="00B305B2">
        <w:rPr>
          <w:rFonts w:ascii="Lotus Linotype" w:hAnsi="Lotus Linotype" w:cs="Traditional Arabic"/>
          <w:b/>
          <w:bCs/>
          <w:color w:val="0D0D0D"/>
          <w:sz w:val="32"/>
          <w:szCs w:val="32"/>
          <w:rtl/>
        </w:rPr>
        <w:lastRenderedPageBreak/>
        <w:t>([1]) بضم النُّون: ما يُنتفع به.</w:t>
      </w:r>
    </w:p>
    <w:p w:rsidR="00B305B2" w:rsidRPr="00B305B2" w:rsidRDefault="00B305B2" w:rsidP="00B305B2">
      <w:pPr>
        <w:pStyle w:val="Heading6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</w:p>
    <w:p w:rsidR="00B305B2" w:rsidRPr="00B305B2" w:rsidRDefault="00B305B2" w:rsidP="00B305B2">
      <w:pPr>
        <w:pStyle w:val="Heading6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  <w:r w:rsidRPr="00B305B2">
        <w:rPr>
          <w:rFonts w:ascii="Lotus Linotype" w:hAnsi="Lotus Linotype" w:cs="Traditional Arabic"/>
          <w:b/>
          <w:bCs/>
          <w:color w:val="0D0D0D"/>
          <w:sz w:val="32"/>
          <w:szCs w:val="32"/>
          <w:rtl/>
        </w:rPr>
        <w:t>(</w:t>
      </w:r>
      <w:r w:rsidRPr="00B305B2">
        <w:rPr>
          <w:rFonts w:ascii="Traditional Arabic" w:hAnsi="Traditional Arabic" w:cs="Traditional Arabic"/>
          <w:color w:val="323232"/>
          <w:sz w:val="32"/>
          <w:szCs w:val="32"/>
          <w:rtl/>
        </w:rPr>
        <w:t>[2]) أحقُّها وأولاها.</w:t>
      </w:r>
    </w:p>
    <w:p w:rsidR="00B305B2" w:rsidRPr="00B305B2" w:rsidRDefault="00B305B2" w:rsidP="00B305B2">
      <w:pPr>
        <w:pStyle w:val="Heading6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</w:p>
    <w:p w:rsidR="00B305B2" w:rsidRPr="00B305B2" w:rsidRDefault="00B305B2" w:rsidP="00B305B2">
      <w:pPr>
        <w:pStyle w:val="Heading6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  <w:r w:rsidRPr="00B305B2">
        <w:rPr>
          <w:rFonts w:ascii="Lotus Linotype" w:hAnsi="Lotus Linotype" w:cs="Traditional Arabic"/>
          <w:b/>
          <w:bCs/>
          <w:color w:val="0D0D0D"/>
          <w:sz w:val="32"/>
          <w:szCs w:val="32"/>
          <w:rtl/>
        </w:rPr>
        <w:t>(</w:t>
      </w:r>
      <w:r w:rsidRPr="00B305B2">
        <w:rPr>
          <w:rFonts w:ascii="Traditional Arabic" w:hAnsi="Traditional Arabic" w:cs="Traditional Arabic"/>
          <w:color w:val="323232"/>
          <w:sz w:val="32"/>
          <w:szCs w:val="32"/>
          <w:rtl/>
        </w:rPr>
        <w:t>[3]) الأصول اسمٌ للمتون المعتمدة في الفنون.</w:t>
      </w:r>
    </w:p>
    <w:p w:rsidR="00B305B2" w:rsidRPr="00B305B2" w:rsidRDefault="00B305B2" w:rsidP="00B305B2">
      <w:pPr>
        <w:pStyle w:val="Heading6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</w:p>
    <w:p w:rsidR="00B305B2" w:rsidRPr="00B305B2" w:rsidRDefault="00B305B2" w:rsidP="00B305B2">
      <w:pPr>
        <w:pStyle w:val="Heading6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  <w:r w:rsidRPr="00B305B2">
        <w:rPr>
          <w:rFonts w:ascii="Lotus Linotype" w:hAnsi="Lotus Linotype" w:cs="Traditional Arabic"/>
          <w:b/>
          <w:bCs/>
          <w:color w:val="0D0D0D"/>
          <w:sz w:val="32"/>
          <w:szCs w:val="32"/>
          <w:rtl/>
        </w:rPr>
        <w:t>(</w:t>
      </w:r>
      <w:r w:rsidRPr="00B305B2">
        <w:rPr>
          <w:rFonts w:ascii="Traditional Arabic" w:hAnsi="Traditional Arabic" w:cs="Traditional Arabic"/>
          <w:color w:val="323232"/>
          <w:sz w:val="32"/>
          <w:szCs w:val="32"/>
          <w:rtl/>
        </w:rPr>
        <w:t>[4]) من يتصرَّف في شيءٍ دون إذن أهله.</w:t>
      </w:r>
    </w:p>
    <w:p w:rsidR="00B305B2" w:rsidRPr="00B305B2" w:rsidRDefault="00B305B2" w:rsidP="00B305B2">
      <w:pPr>
        <w:pStyle w:val="Heading6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</w:p>
    <w:p w:rsidR="00B305B2" w:rsidRPr="00B305B2" w:rsidRDefault="00B305B2" w:rsidP="00B305B2">
      <w:pPr>
        <w:pStyle w:val="Heading6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  <w:r w:rsidRPr="00B305B2">
        <w:rPr>
          <w:rFonts w:ascii="Lotus Linotype" w:hAnsi="Lotus Linotype" w:cs="Traditional Arabic"/>
          <w:b/>
          <w:bCs/>
          <w:color w:val="0D0D0D"/>
          <w:sz w:val="32"/>
          <w:szCs w:val="32"/>
          <w:rtl/>
        </w:rPr>
        <w:t>(</w:t>
      </w:r>
      <w:r w:rsidRPr="00B305B2">
        <w:rPr>
          <w:rFonts w:ascii="Traditional Arabic" w:hAnsi="Traditional Arabic" w:cs="Traditional Arabic"/>
          <w:color w:val="323232"/>
          <w:sz w:val="32"/>
          <w:szCs w:val="32"/>
          <w:rtl/>
        </w:rPr>
        <w:t>[5]) الملتمِس: المتعلِّم، والمرشِد: المعلِّم، والأنام: بنو آدم.</w:t>
      </w:r>
    </w:p>
    <w:p w:rsidR="00B305B2" w:rsidRPr="00B305B2" w:rsidRDefault="00B305B2" w:rsidP="00B305B2">
      <w:pPr>
        <w:pStyle w:val="Heading6"/>
        <w:shd w:val="clear" w:color="auto" w:fill="FFFFFF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</w:p>
    <w:p w:rsidR="00B305B2" w:rsidRPr="00B305B2" w:rsidRDefault="00B305B2" w:rsidP="00B305B2">
      <w:pPr>
        <w:pStyle w:val="Heading6"/>
        <w:shd w:val="clear" w:color="auto" w:fill="FFFFFF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  <w:r w:rsidRPr="00B305B2">
        <w:rPr>
          <w:rFonts w:ascii="Lotus Linotype" w:hAnsi="Lotus Linotype" w:cs="Traditional Arabic"/>
          <w:b/>
          <w:bCs/>
          <w:color w:val="0D0D0D"/>
          <w:sz w:val="32"/>
          <w:szCs w:val="32"/>
          <w:rtl/>
        </w:rPr>
        <w:t>(</w:t>
      </w:r>
      <w:r w:rsidRPr="00B305B2">
        <w:rPr>
          <w:rFonts w:ascii="Traditional Arabic" w:hAnsi="Traditional Arabic" w:cs="Traditional Arabic"/>
          <w:color w:val="323232"/>
          <w:sz w:val="32"/>
          <w:szCs w:val="32"/>
          <w:rtl/>
        </w:rPr>
        <w:t>[6]) ما يُتعلَّق به.   </w:t>
      </w:r>
    </w:p>
    <w:p w:rsidR="00B305B2" w:rsidRPr="00B305B2" w:rsidRDefault="00B305B2" w:rsidP="00B305B2">
      <w:pPr>
        <w:pStyle w:val="Heading6"/>
        <w:shd w:val="clear" w:color="auto" w:fill="FFFFFF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</w:p>
    <w:p w:rsidR="00B305B2" w:rsidRPr="00B305B2" w:rsidRDefault="00B305B2" w:rsidP="00B305B2">
      <w:pPr>
        <w:pStyle w:val="Heading6"/>
        <w:shd w:val="clear" w:color="auto" w:fill="FFFFFF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  <w:r w:rsidRPr="00B305B2">
        <w:rPr>
          <w:rFonts w:ascii="Lotus Linotype" w:hAnsi="Lotus Linotype" w:cs="Traditional Arabic"/>
          <w:b/>
          <w:bCs/>
          <w:color w:val="0D0D0D"/>
          <w:sz w:val="32"/>
          <w:szCs w:val="32"/>
          <w:rtl/>
        </w:rPr>
        <w:t>(</w:t>
      </w:r>
      <w:r w:rsidRPr="00B305B2">
        <w:rPr>
          <w:rFonts w:ascii="Traditional Arabic" w:hAnsi="Traditional Arabic" w:cs="Traditional Arabic"/>
          <w:color w:val="323232"/>
          <w:sz w:val="32"/>
          <w:szCs w:val="32"/>
          <w:rtl/>
        </w:rPr>
        <w:t>[7]) النَّبز: اللَّقب، والتَّنابُز: التَّداعي بالألقاب ، وهو يكثرُ فيما كان ذَمًّا.</w:t>
      </w:r>
    </w:p>
    <w:p w:rsidR="00B305B2" w:rsidRPr="00B305B2" w:rsidRDefault="00B305B2" w:rsidP="00B305B2">
      <w:pPr>
        <w:pStyle w:val="Heading6"/>
        <w:shd w:val="clear" w:color="auto" w:fill="FFFFFF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</w:p>
    <w:p w:rsidR="00B305B2" w:rsidRPr="00B305B2" w:rsidRDefault="00B305B2" w:rsidP="00B305B2">
      <w:pPr>
        <w:pStyle w:val="Heading6"/>
        <w:shd w:val="clear" w:color="auto" w:fill="FFFFFF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  <w:r w:rsidRPr="00B305B2">
        <w:rPr>
          <w:rFonts w:ascii="Lotus Linotype" w:hAnsi="Lotus Linotype" w:cs="Traditional Arabic"/>
          <w:b/>
          <w:bCs/>
          <w:color w:val="0D0D0D"/>
          <w:sz w:val="32"/>
          <w:szCs w:val="32"/>
          <w:rtl/>
        </w:rPr>
        <w:t>(</w:t>
      </w:r>
      <w:r w:rsidRPr="00B305B2">
        <w:rPr>
          <w:rFonts w:ascii="Traditional Arabic" w:hAnsi="Traditional Arabic" w:cs="Traditional Arabic"/>
          <w:color w:val="323232"/>
          <w:sz w:val="32"/>
          <w:szCs w:val="32"/>
          <w:rtl/>
        </w:rPr>
        <w:t>[8]) من أسماء سورة البقرة؛ لقوله تعالى فيها: (ولا بِكْرٌ).</w:t>
      </w:r>
    </w:p>
    <w:p w:rsidR="00B305B2" w:rsidRPr="00B305B2" w:rsidRDefault="00B305B2" w:rsidP="00B305B2">
      <w:pPr>
        <w:pStyle w:val="Heading6"/>
        <w:shd w:val="clear" w:color="auto" w:fill="FFFFFF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</w:p>
    <w:p w:rsidR="00B305B2" w:rsidRPr="00B305B2" w:rsidRDefault="00B305B2" w:rsidP="00B305B2">
      <w:pPr>
        <w:pStyle w:val="Heading6"/>
        <w:shd w:val="clear" w:color="auto" w:fill="FFFFFF"/>
        <w:bidi/>
        <w:spacing w:before="0" w:line="210" w:lineRule="atLeast"/>
        <w:ind w:left="397" w:hanging="397"/>
        <w:jc w:val="both"/>
        <w:rPr>
          <w:rFonts w:ascii="Traditional Arabic" w:hAnsi="Traditional Arabic" w:cs="Traditional Arabic"/>
          <w:color w:val="323232"/>
          <w:sz w:val="25"/>
          <w:szCs w:val="25"/>
          <w:rtl/>
        </w:rPr>
      </w:pPr>
      <w:r w:rsidRPr="00B305B2">
        <w:rPr>
          <w:rFonts w:ascii="Lotus Linotype" w:hAnsi="Lotus Linotype" w:cs="Traditional Arabic"/>
          <w:b/>
          <w:bCs/>
          <w:color w:val="0D0D0D"/>
          <w:sz w:val="32"/>
          <w:szCs w:val="32"/>
          <w:rtl/>
        </w:rPr>
        <w:t>(</w:t>
      </w:r>
      <w:r w:rsidRPr="00B305B2">
        <w:rPr>
          <w:rFonts w:ascii="Traditional Arabic" w:hAnsi="Traditional Arabic" w:cs="Traditional Arabic"/>
          <w:color w:val="323232"/>
          <w:sz w:val="32"/>
          <w:szCs w:val="32"/>
          <w:rtl/>
        </w:rPr>
        <w:t>[9]) بحذف الهمزة: المتشاركون في الأمر من حالٍ أو مالٍ أو غيرهما.</w:t>
      </w:r>
    </w:p>
    <w:p w:rsidR="00B305B2" w:rsidRPr="00B305B2" w:rsidRDefault="00B305B2" w:rsidP="00B305B2">
      <w:pPr>
        <w:pStyle w:val="NormalWeb"/>
        <w:shd w:val="clear" w:color="auto" w:fill="FFFFFF"/>
        <w:spacing w:before="120" w:beforeAutospacing="0" w:after="120" w:afterAutospacing="0" w:line="480" w:lineRule="atLeast"/>
        <w:rPr>
          <w:rFonts w:ascii="Traditional Arabic" w:hAnsi="Traditional Arabic" w:cs="Traditional Arabic"/>
          <w:b/>
          <w:bCs/>
          <w:color w:val="666666"/>
          <w:sz w:val="31"/>
          <w:szCs w:val="31"/>
          <w:rtl/>
        </w:rPr>
      </w:pPr>
    </w:p>
    <w:p w:rsidR="00B305B2" w:rsidRPr="00B305B2" w:rsidRDefault="00B305B2" w:rsidP="00B305B2">
      <w:pPr>
        <w:pStyle w:val="NormalWeb"/>
        <w:shd w:val="clear" w:color="auto" w:fill="FFFFFF"/>
        <w:spacing w:before="120" w:beforeAutospacing="0" w:after="120" w:afterAutospacing="0" w:line="480" w:lineRule="atLeast"/>
        <w:rPr>
          <w:rFonts w:ascii="Traditional Arabic" w:hAnsi="Traditional Arabic" w:cs="Traditional Arabic"/>
          <w:b/>
          <w:bCs/>
          <w:color w:val="666666"/>
          <w:sz w:val="31"/>
          <w:szCs w:val="31"/>
        </w:rPr>
      </w:pPr>
    </w:p>
    <w:p w:rsidR="00B305B2" w:rsidRPr="00B305B2" w:rsidRDefault="00B305B2" w:rsidP="00B305B2">
      <w:pPr>
        <w:rPr>
          <w:sz w:val="26"/>
          <w:szCs w:val="26"/>
        </w:rPr>
      </w:pPr>
    </w:p>
    <w:sectPr w:rsidR="00B305B2" w:rsidRPr="00B305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CS Basmalah normal.">
    <w:altName w:val="Times New Roman"/>
    <w:panose1 w:val="00000000000000000000"/>
    <w:charset w:val="00"/>
    <w:family w:val="roman"/>
    <w:notTrueType/>
    <w:pitch w:val="default"/>
  </w:font>
  <w:font w:name="Lotus Linotype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A3"/>
    <w:rsid w:val="00070846"/>
    <w:rsid w:val="00307E7A"/>
    <w:rsid w:val="004338BA"/>
    <w:rsid w:val="00701DB5"/>
    <w:rsid w:val="00851C10"/>
    <w:rsid w:val="00B305B2"/>
    <w:rsid w:val="00D17A1D"/>
    <w:rsid w:val="00E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1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5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7A1D"/>
  </w:style>
  <w:style w:type="character" w:styleId="Hyperlink">
    <w:name w:val="Hyperlink"/>
    <w:basedOn w:val="DefaultParagraphFont"/>
    <w:uiPriority w:val="99"/>
    <w:semiHidden/>
    <w:unhideWhenUsed/>
    <w:rsid w:val="004338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1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3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5B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1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5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7A1D"/>
  </w:style>
  <w:style w:type="character" w:styleId="Hyperlink">
    <w:name w:val="Hyperlink"/>
    <w:basedOn w:val="DefaultParagraphFont"/>
    <w:uiPriority w:val="99"/>
    <w:semiHidden/>
    <w:unhideWhenUsed/>
    <w:rsid w:val="004338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1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3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5B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2014-08-25T16:45:00Z</cp:lastPrinted>
  <dcterms:created xsi:type="dcterms:W3CDTF">2014-08-25T16:46:00Z</dcterms:created>
  <dcterms:modified xsi:type="dcterms:W3CDTF">2014-08-25T16:46:00Z</dcterms:modified>
</cp:coreProperties>
</file>